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EFAD1" w14:textId="77777777" w:rsidR="000316BC" w:rsidRDefault="000316BC">
      <w:r>
        <w:rPr>
          <w:noProof/>
        </w:rPr>
        <w:drawing>
          <wp:anchor distT="0" distB="0" distL="114300" distR="114300" simplePos="0" relativeHeight="251658240" behindDoc="0" locked="0" layoutInCell="1" allowOverlap="1" wp14:anchorId="7BC2121E" wp14:editId="5F3E12B1">
            <wp:simplePos x="0" y="0"/>
            <wp:positionH relativeFrom="margin">
              <wp:posOffset>1095375</wp:posOffset>
            </wp:positionH>
            <wp:positionV relativeFrom="paragraph">
              <wp:posOffset>-302895</wp:posOffset>
            </wp:positionV>
            <wp:extent cx="4667250" cy="1000766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lan-logo-rg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10007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C8F958" w14:textId="77777777" w:rsidR="000316BC" w:rsidRDefault="000316BC" w:rsidP="000316BC"/>
    <w:p w14:paraId="47128181" w14:textId="77777777" w:rsidR="00E5570E" w:rsidRDefault="00E5570E" w:rsidP="00E5570E">
      <w:pPr>
        <w:spacing w:line="72" w:lineRule="auto"/>
        <w:jc w:val="center"/>
        <w:rPr>
          <w:color w:val="808080" w:themeColor="background1" w:themeShade="80"/>
          <w:sz w:val="40"/>
          <w:szCs w:val="40"/>
        </w:rPr>
      </w:pPr>
    </w:p>
    <w:p w14:paraId="2BFF1838" w14:textId="7255B384" w:rsidR="00140DF4" w:rsidRPr="00140DF4" w:rsidRDefault="00870445" w:rsidP="00A0329D">
      <w:pPr>
        <w:jc w:val="center"/>
        <w:rPr>
          <w:color w:val="808080" w:themeColor="background1" w:themeShade="80"/>
          <w:sz w:val="40"/>
          <w:szCs w:val="40"/>
        </w:rPr>
      </w:pPr>
      <w:r>
        <w:rPr>
          <w:color w:val="808080" w:themeColor="background1" w:themeShade="80"/>
          <w:sz w:val="40"/>
          <w:szCs w:val="40"/>
        </w:rPr>
        <w:t>Study Abroad Policies and Procedures</w:t>
      </w:r>
    </w:p>
    <w:tbl>
      <w:tblPr>
        <w:tblStyle w:val="TableGrid"/>
        <w:tblW w:w="10451" w:type="dxa"/>
        <w:jc w:val="center"/>
        <w:tblLook w:val="04A0" w:firstRow="1" w:lastRow="0" w:firstColumn="1" w:lastColumn="0" w:noHBand="0" w:noVBand="1"/>
      </w:tblPr>
      <w:tblGrid>
        <w:gridCol w:w="5653"/>
        <w:gridCol w:w="4798"/>
      </w:tblGrid>
      <w:tr w:rsidR="00D70C3D" w14:paraId="2CAEC746" w14:textId="77777777" w:rsidTr="00132A51">
        <w:trPr>
          <w:trHeight w:val="20"/>
          <w:jc w:val="center"/>
        </w:trPr>
        <w:tc>
          <w:tcPr>
            <w:tcW w:w="104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0D476" w14:textId="77777777" w:rsidR="00D70C3D" w:rsidRPr="00140DF4" w:rsidRDefault="00D70C3D" w:rsidP="00904BB6">
            <w:pPr>
              <w:rPr>
                <w:b/>
                <w:caps/>
                <w:sz w:val="36"/>
              </w:rPr>
            </w:pPr>
            <w:r w:rsidRPr="00140DF4">
              <w:rPr>
                <w:b/>
                <w:caps/>
                <w:sz w:val="36"/>
              </w:rPr>
              <w:t>Step 1: Determine Eligibility</w:t>
            </w:r>
          </w:p>
          <w:p w14:paraId="5BF3B4F1" w14:textId="77777777" w:rsidR="00D70C3D" w:rsidRPr="00140DF4" w:rsidRDefault="00D70C3D" w:rsidP="00904BB6">
            <w:pPr>
              <w:spacing w:line="48" w:lineRule="auto"/>
              <w:rPr>
                <w:smallCaps/>
              </w:rPr>
            </w:pPr>
          </w:p>
          <w:p w14:paraId="2F7167FB" w14:textId="77777777" w:rsidR="00D70C3D" w:rsidRPr="00140DF4" w:rsidRDefault="007C6E0F" w:rsidP="00904BB6">
            <w:pPr>
              <w:rPr>
                <w:b/>
                <w:caps/>
                <w:sz w:val="36"/>
              </w:rPr>
            </w:pPr>
            <w:r>
              <w:rPr>
                <w:smallCaps/>
                <w:sz w:val="32"/>
              </w:rPr>
              <w:t>Nolan School of Hotel Administration</w:t>
            </w:r>
            <w:r w:rsidR="00D70C3D" w:rsidRPr="00140DF4">
              <w:rPr>
                <w:smallCaps/>
                <w:sz w:val="32"/>
              </w:rPr>
              <w:t xml:space="preserve"> Eligibility Requirements to Study Abroad</w:t>
            </w:r>
          </w:p>
        </w:tc>
      </w:tr>
      <w:tr w:rsidR="00D70C3D" w14:paraId="4FB27D54" w14:textId="77777777" w:rsidTr="00132A51">
        <w:trPr>
          <w:trHeight w:val="20"/>
          <w:jc w:val="center"/>
        </w:trPr>
        <w:tc>
          <w:tcPr>
            <w:tcW w:w="56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1FA005" w14:textId="77777777" w:rsidR="00D70C3D" w:rsidRPr="00904BB6" w:rsidRDefault="00D70C3D" w:rsidP="00904BB6">
            <w:pPr>
              <w:pStyle w:val="ListParagraph"/>
              <w:numPr>
                <w:ilvl w:val="0"/>
                <w:numId w:val="2"/>
              </w:numPr>
            </w:pPr>
            <w:r w:rsidRPr="00904BB6">
              <w:t>Minimum Cumulative GPA of 3.0 or Higher</w:t>
            </w:r>
          </w:p>
        </w:tc>
        <w:tc>
          <w:tcPr>
            <w:tcW w:w="4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4AC69F" w14:textId="106CDAAC" w:rsidR="00D70C3D" w:rsidRPr="00904BB6" w:rsidRDefault="00870445" w:rsidP="00904BB6">
            <w:pPr>
              <w:pStyle w:val="ListParagraph"/>
              <w:numPr>
                <w:ilvl w:val="0"/>
                <w:numId w:val="2"/>
              </w:numPr>
            </w:pPr>
            <w:r>
              <w:t>Students who matriculated as First Year students must complete</w:t>
            </w:r>
            <w:r w:rsidR="00D70C3D" w:rsidRPr="00904BB6">
              <w:t xml:space="preserve"> all 1000-level and 2000-level Core </w:t>
            </w:r>
            <w:r>
              <w:t>p</w:t>
            </w:r>
            <w:r w:rsidR="00D70C3D" w:rsidRPr="00904BB6">
              <w:t xml:space="preserve">rior to </w:t>
            </w:r>
            <w:r>
              <w:t>d</w:t>
            </w:r>
            <w:r w:rsidR="00D70C3D" w:rsidRPr="00904BB6">
              <w:t>eparture</w:t>
            </w:r>
          </w:p>
        </w:tc>
      </w:tr>
      <w:tr w:rsidR="00D70C3D" w14:paraId="33E1EADC" w14:textId="77777777" w:rsidTr="00132A51">
        <w:trPr>
          <w:trHeight w:val="20"/>
          <w:jc w:val="center"/>
        </w:trPr>
        <w:tc>
          <w:tcPr>
            <w:tcW w:w="5653" w:type="dxa"/>
            <w:tcBorders>
              <w:top w:val="nil"/>
              <w:left w:val="nil"/>
              <w:bottom w:val="nil"/>
              <w:right w:val="nil"/>
            </w:tcBorders>
          </w:tcPr>
          <w:p w14:paraId="0D7EE8DF" w14:textId="2405B64D" w:rsidR="00D70C3D" w:rsidRPr="00904BB6" w:rsidRDefault="00D70C3D" w:rsidP="00904BB6">
            <w:pPr>
              <w:pStyle w:val="ListParagraph"/>
              <w:numPr>
                <w:ilvl w:val="0"/>
                <w:numId w:val="2"/>
              </w:numPr>
            </w:pPr>
            <w:r w:rsidRPr="00904BB6">
              <w:t>Completion of PE Requirement</w:t>
            </w:r>
          </w:p>
        </w:tc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58B85D58" w14:textId="7CE69057" w:rsidR="00D70C3D" w:rsidRPr="00904BB6" w:rsidRDefault="00870445" w:rsidP="00904BB6">
            <w:pPr>
              <w:pStyle w:val="ListParagraph"/>
              <w:numPr>
                <w:ilvl w:val="0"/>
                <w:numId w:val="2"/>
              </w:numPr>
            </w:pPr>
            <w:r>
              <w:t xml:space="preserve">Students who matriculated as Transfer students must have no more than 15 credits of Core total remaining prior to departure </w:t>
            </w:r>
          </w:p>
        </w:tc>
      </w:tr>
      <w:tr w:rsidR="00D70C3D" w14:paraId="5D95A2E1" w14:textId="77777777" w:rsidTr="00132A51">
        <w:trPr>
          <w:trHeight w:val="20"/>
          <w:jc w:val="center"/>
        </w:trPr>
        <w:tc>
          <w:tcPr>
            <w:tcW w:w="5653" w:type="dxa"/>
            <w:tcBorders>
              <w:top w:val="nil"/>
              <w:left w:val="nil"/>
              <w:bottom w:val="nil"/>
              <w:right w:val="nil"/>
            </w:tcBorders>
          </w:tcPr>
          <w:p w14:paraId="7CFBD75B" w14:textId="77777777" w:rsidR="00D70C3D" w:rsidRPr="00904BB6" w:rsidRDefault="00D70C3D" w:rsidP="00904BB6">
            <w:pPr>
              <w:pStyle w:val="ListParagraph"/>
              <w:numPr>
                <w:ilvl w:val="0"/>
                <w:numId w:val="2"/>
              </w:numPr>
            </w:pPr>
            <w:r w:rsidRPr="00904BB6">
              <w:t>Ability to Graduate on Time</w:t>
            </w:r>
          </w:p>
        </w:tc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6481AB4D" w14:textId="1C2A651F" w:rsidR="00D70C3D" w:rsidRPr="00904BB6" w:rsidRDefault="00870445" w:rsidP="00870445">
            <w:pPr>
              <w:pStyle w:val="ListParagraph"/>
              <w:numPr>
                <w:ilvl w:val="0"/>
                <w:numId w:val="2"/>
              </w:numPr>
            </w:pPr>
            <w:r w:rsidRPr="00904BB6">
              <w:t>Completion of First Year Writing Seminar Requirement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59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132A51" w14:paraId="0C4F5487" w14:textId="77777777" w:rsidTr="00132A51">
        <w:tc>
          <w:tcPr>
            <w:tcW w:w="10440" w:type="dxa"/>
            <w:tcBorders>
              <w:bottom w:val="single" w:sz="4" w:space="0" w:color="auto"/>
            </w:tcBorders>
          </w:tcPr>
          <w:p w14:paraId="28DD9DE9" w14:textId="77777777" w:rsidR="00132A51" w:rsidRPr="006F20AC" w:rsidRDefault="00132A51" w:rsidP="00132A51">
            <w:pPr>
              <w:rPr>
                <w:b/>
                <w:caps/>
                <w:sz w:val="36"/>
                <w:szCs w:val="36"/>
              </w:rPr>
            </w:pPr>
            <w:r w:rsidRPr="006F20AC">
              <w:rPr>
                <w:b/>
                <w:caps/>
                <w:sz w:val="36"/>
                <w:szCs w:val="36"/>
              </w:rPr>
              <w:t xml:space="preserve">Step 2: Meet with </w:t>
            </w:r>
            <w:r>
              <w:rPr>
                <w:b/>
                <w:caps/>
                <w:sz w:val="36"/>
                <w:szCs w:val="36"/>
              </w:rPr>
              <w:t>nolan</w:t>
            </w:r>
            <w:r w:rsidRPr="006F20AC">
              <w:rPr>
                <w:b/>
                <w:caps/>
                <w:sz w:val="36"/>
                <w:szCs w:val="36"/>
              </w:rPr>
              <w:t xml:space="preserve"> Study Abroad Advisor, Taylor Sweazey </w:t>
            </w:r>
            <w:r>
              <w:rPr>
                <w:b/>
                <w:caps/>
                <w:sz w:val="36"/>
                <w:szCs w:val="36"/>
              </w:rPr>
              <w:t>(</w:t>
            </w:r>
            <w:r w:rsidRPr="00D70C3D">
              <w:rPr>
                <w:b/>
                <w:caps/>
                <w:color w:val="C00000"/>
                <w:sz w:val="36"/>
                <w:szCs w:val="36"/>
              </w:rPr>
              <w:t>Required</w:t>
            </w:r>
            <w:r>
              <w:rPr>
                <w:b/>
                <w:caps/>
                <w:sz w:val="36"/>
                <w:szCs w:val="36"/>
              </w:rPr>
              <w:t>)</w:t>
            </w:r>
          </w:p>
          <w:p w14:paraId="58FFBD86" w14:textId="77777777" w:rsidR="00132A51" w:rsidRPr="006F20AC" w:rsidRDefault="00132A51" w:rsidP="00132A51">
            <w:pPr>
              <w:spacing w:line="48" w:lineRule="auto"/>
              <w:rPr>
                <w:caps/>
              </w:rPr>
            </w:pPr>
          </w:p>
          <w:p w14:paraId="66169B43" w14:textId="77777777" w:rsidR="00132A51" w:rsidRPr="006F20AC" w:rsidRDefault="00132A51" w:rsidP="00132A51">
            <w:pPr>
              <w:rPr>
                <w:smallCaps/>
                <w:sz w:val="32"/>
                <w:szCs w:val="32"/>
              </w:rPr>
            </w:pPr>
            <w:r w:rsidRPr="006F20AC">
              <w:rPr>
                <w:smallCaps/>
                <w:sz w:val="32"/>
                <w:szCs w:val="32"/>
              </w:rPr>
              <w:t>Discuss eligibility and policies</w:t>
            </w:r>
          </w:p>
        </w:tc>
      </w:tr>
      <w:tr w:rsidR="00132A51" w14:paraId="3E84C356" w14:textId="77777777" w:rsidTr="00132A51">
        <w:tc>
          <w:tcPr>
            <w:tcW w:w="10440" w:type="dxa"/>
            <w:tcBorders>
              <w:top w:val="single" w:sz="4" w:space="0" w:color="auto"/>
            </w:tcBorders>
          </w:tcPr>
          <w:p w14:paraId="5A6A63D5" w14:textId="7E181D85" w:rsidR="00132A51" w:rsidRPr="00904BB6" w:rsidRDefault="00132A51" w:rsidP="00BD03AD">
            <w:pPr>
              <w:pStyle w:val="ListParagraph"/>
              <w:numPr>
                <w:ilvl w:val="0"/>
                <w:numId w:val="8"/>
              </w:numPr>
            </w:pPr>
            <w:r w:rsidRPr="00904BB6">
              <w:t xml:space="preserve">Confirm eligibility and your ability to graduate on time and meet </w:t>
            </w:r>
            <w:r w:rsidR="00870445">
              <w:t xml:space="preserve">other academic and personal </w:t>
            </w:r>
            <w:r w:rsidRPr="00904BB6">
              <w:t>goals</w:t>
            </w:r>
          </w:p>
        </w:tc>
      </w:tr>
      <w:tr w:rsidR="00132A51" w14:paraId="734BE88A" w14:textId="77777777" w:rsidTr="00132A51">
        <w:tc>
          <w:tcPr>
            <w:tcW w:w="10440" w:type="dxa"/>
          </w:tcPr>
          <w:p w14:paraId="064695BC" w14:textId="77777777" w:rsidR="00132A51" w:rsidRPr="00904BB6" w:rsidRDefault="00132A51" w:rsidP="00BD03AD">
            <w:pPr>
              <w:pStyle w:val="ListParagraph"/>
              <w:numPr>
                <w:ilvl w:val="0"/>
                <w:numId w:val="7"/>
              </w:numPr>
            </w:pPr>
            <w:r w:rsidRPr="00904BB6">
              <w:t>Discuss Policies:</w:t>
            </w:r>
          </w:p>
          <w:p w14:paraId="5CEAF874" w14:textId="2C06A578" w:rsidR="00132A51" w:rsidRPr="00904BB6" w:rsidRDefault="00132A51" w:rsidP="00BD03AD">
            <w:pPr>
              <w:pStyle w:val="ListParagraph"/>
              <w:numPr>
                <w:ilvl w:val="1"/>
                <w:numId w:val="7"/>
              </w:numPr>
            </w:pPr>
            <w:r w:rsidRPr="00904BB6">
              <w:t xml:space="preserve">Students must enroll in full course load while abroad (equivalent to </w:t>
            </w:r>
            <w:r w:rsidR="00870445">
              <w:t>15-16</w:t>
            </w:r>
            <w:r w:rsidRPr="00904BB6">
              <w:t xml:space="preserve"> credit hours</w:t>
            </w:r>
            <w:r>
              <w:t xml:space="preserve">). </w:t>
            </w:r>
          </w:p>
          <w:p w14:paraId="3D4A6BF5" w14:textId="7A8D23F2" w:rsidR="00132A51" w:rsidRPr="00904BB6" w:rsidRDefault="00132A51" w:rsidP="00BD03AD">
            <w:pPr>
              <w:pStyle w:val="ListParagraph"/>
              <w:numPr>
                <w:ilvl w:val="1"/>
                <w:numId w:val="7"/>
              </w:numPr>
            </w:pPr>
            <w:r w:rsidRPr="00904BB6">
              <w:t xml:space="preserve">Students must take </w:t>
            </w:r>
            <w:r w:rsidR="00870445">
              <w:t>classes</w:t>
            </w:r>
            <w:r w:rsidRPr="00904BB6">
              <w:t xml:space="preserve"> for a letter grade</w:t>
            </w:r>
            <w:r>
              <w:t>. Students must receive a grade of C or better</w:t>
            </w:r>
            <w:r w:rsidR="00870445">
              <w:t xml:space="preserve"> </w:t>
            </w:r>
            <w:r>
              <w:t xml:space="preserve">to receive credit for </w:t>
            </w:r>
            <w:r w:rsidR="00870445">
              <w:t>each class</w:t>
            </w:r>
            <w:r>
              <w:t xml:space="preserve">. </w:t>
            </w:r>
            <w:r w:rsidR="00870445">
              <w:t>Letter/numeric g</w:t>
            </w:r>
            <w:r>
              <w:t xml:space="preserve">rades from classes taken abroad will not impact a student’s Cornell cumulative GPA but will appear on their transcript </w:t>
            </w:r>
          </w:p>
          <w:p w14:paraId="6B1C6C78" w14:textId="77777777" w:rsidR="00132A51" w:rsidRPr="00904BB6" w:rsidRDefault="00132A51" w:rsidP="00BD03AD">
            <w:pPr>
              <w:pStyle w:val="ListParagraph"/>
              <w:numPr>
                <w:ilvl w:val="1"/>
                <w:numId w:val="7"/>
              </w:numPr>
            </w:pPr>
            <w:r w:rsidRPr="00904BB6">
              <w:t>Students are required to study the language of the host country while abroad</w:t>
            </w:r>
            <w:r>
              <w:t xml:space="preserve"> if the official language of the country is not English </w:t>
            </w:r>
          </w:p>
          <w:p w14:paraId="3C7A28F6" w14:textId="6C1AAE32" w:rsidR="00132A51" w:rsidRPr="00904BB6" w:rsidRDefault="00132A51" w:rsidP="00BD03AD">
            <w:pPr>
              <w:pStyle w:val="ListParagraph"/>
              <w:numPr>
                <w:ilvl w:val="1"/>
                <w:numId w:val="7"/>
              </w:numPr>
            </w:pPr>
            <w:r w:rsidRPr="00904BB6">
              <w:t>Students cannot take classes that co</w:t>
            </w:r>
            <w:r>
              <w:t xml:space="preserve">ver material that significantly overlaps with material in a </w:t>
            </w:r>
            <w:r w:rsidR="00F81386">
              <w:t>class</w:t>
            </w:r>
            <w:r>
              <w:t xml:space="preserve"> they have already taken or</w:t>
            </w:r>
            <w:r w:rsidR="00F81386">
              <w:t xml:space="preserve"> are required</w:t>
            </w:r>
            <w:r>
              <w:t xml:space="preserve"> to take upon return</w:t>
            </w:r>
          </w:p>
          <w:p w14:paraId="35823877" w14:textId="77777777" w:rsidR="00132A51" w:rsidRDefault="00132A51" w:rsidP="00BD03AD">
            <w:pPr>
              <w:pStyle w:val="ListParagraph"/>
              <w:numPr>
                <w:ilvl w:val="1"/>
                <w:numId w:val="7"/>
              </w:numPr>
            </w:pPr>
            <w:r w:rsidRPr="00904BB6">
              <w:t xml:space="preserve">Classes </w:t>
            </w:r>
            <w:r>
              <w:t xml:space="preserve">are eligible to count </w:t>
            </w:r>
            <w:proofErr w:type="gramStart"/>
            <w:r>
              <w:t>toward</w:t>
            </w:r>
            <w:proofErr w:type="gramEnd"/>
            <w:r>
              <w:t xml:space="preserve"> Non-JCB Distribution Electives, Additional Distribution Electives, Ethics requirement, D&amp;I requirement, or Free Electives. Elective category assignment will depend upon the classes taken while abroad. </w:t>
            </w:r>
          </w:p>
          <w:p w14:paraId="5FBCF190" w14:textId="77777777" w:rsidR="00132A51" w:rsidRDefault="00132A51" w:rsidP="00BD03AD">
            <w:pPr>
              <w:pStyle w:val="ListParagraph"/>
              <w:numPr>
                <w:ilvl w:val="1"/>
                <w:numId w:val="7"/>
              </w:numPr>
            </w:pPr>
            <w:proofErr w:type="gramStart"/>
            <w:r>
              <w:t>The Nolan</w:t>
            </w:r>
            <w:proofErr w:type="gramEnd"/>
            <w:r>
              <w:t xml:space="preserve"> School does not award academic credit for internship work or internship courses. Students who complete an internship abroad would be eligible to receive Practice Credit through completion of the </w:t>
            </w:r>
            <w:hyperlink r:id="rId7" w:history="1">
              <w:r w:rsidRPr="00132A51">
                <w:rPr>
                  <w:rStyle w:val="Hyperlink"/>
                </w:rPr>
                <w:t>Employer Verification Form</w:t>
              </w:r>
            </w:hyperlink>
            <w:r>
              <w:t xml:space="preserve">. </w:t>
            </w:r>
          </w:p>
          <w:p w14:paraId="0751D930" w14:textId="1A33534C" w:rsidR="00973691" w:rsidRDefault="00973691" w:rsidP="00BD03AD">
            <w:pPr>
              <w:pStyle w:val="ListParagraph"/>
              <w:numPr>
                <w:ilvl w:val="1"/>
                <w:numId w:val="7"/>
              </w:numPr>
            </w:pPr>
            <w:r>
              <w:t xml:space="preserve">Students planning on going abroad in their final semester will need to petition to do so. Please be aware of </w:t>
            </w:r>
            <w:hyperlink r:id="rId8" w:history="1">
              <w:r w:rsidRPr="00973691">
                <w:rPr>
                  <w:rStyle w:val="Hyperlink"/>
                </w:rPr>
                <w:t>deadlines</w:t>
              </w:r>
            </w:hyperlink>
            <w:r>
              <w:t xml:space="preserve"> to receive transcripts for degree conferral deadlines. </w:t>
            </w:r>
          </w:p>
          <w:p w14:paraId="6E8C1453" w14:textId="77777777" w:rsidR="00132A51" w:rsidRPr="00A0329D" w:rsidRDefault="00132A51" w:rsidP="00132A51">
            <w:pPr>
              <w:pStyle w:val="ListParagraph"/>
              <w:spacing w:line="120" w:lineRule="auto"/>
            </w:pPr>
          </w:p>
          <w:tbl>
            <w:tblPr>
              <w:tblStyle w:val="TableGrid"/>
              <w:tblW w:w="102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64"/>
            </w:tblGrid>
            <w:tr w:rsidR="00132A51" w14:paraId="62B08A4D" w14:textId="77777777" w:rsidTr="00447A3E">
              <w:trPr>
                <w:trHeight w:val="555"/>
              </w:trPr>
              <w:tc>
                <w:tcPr>
                  <w:tcW w:w="10264" w:type="dxa"/>
                  <w:tcBorders>
                    <w:bottom w:val="single" w:sz="4" w:space="0" w:color="auto"/>
                  </w:tcBorders>
                </w:tcPr>
                <w:p w14:paraId="0EF4AD64" w14:textId="77777777" w:rsidR="00132A51" w:rsidRPr="001E3585" w:rsidRDefault="00132A51" w:rsidP="00973691">
                  <w:pPr>
                    <w:framePr w:hSpace="180" w:wrap="around" w:vAnchor="text" w:hAnchor="margin" w:xAlign="center" w:y="59"/>
                    <w:rPr>
                      <w:b/>
                      <w:caps/>
                      <w:sz w:val="36"/>
                      <w:szCs w:val="36"/>
                    </w:rPr>
                  </w:pPr>
                  <w:r w:rsidRPr="001E3585">
                    <w:rPr>
                      <w:b/>
                      <w:caps/>
                      <w:sz w:val="36"/>
                      <w:szCs w:val="36"/>
                    </w:rPr>
                    <w:t>Step 3: Research Programs</w:t>
                  </w:r>
                </w:p>
                <w:p w14:paraId="5BAC84E8" w14:textId="77777777" w:rsidR="00132A51" w:rsidRDefault="00132A51" w:rsidP="00973691">
                  <w:pPr>
                    <w:framePr w:hSpace="180" w:wrap="around" w:vAnchor="text" w:hAnchor="margin" w:xAlign="center" w:y="59"/>
                    <w:spacing w:line="48" w:lineRule="auto"/>
                    <w:rPr>
                      <w:smallCaps/>
                    </w:rPr>
                  </w:pPr>
                </w:p>
                <w:p w14:paraId="04739F3D" w14:textId="77777777" w:rsidR="00132A51" w:rsidRPr="001E3585" w:rsidRDefault="00132A51" w:rsidP="00973691">
                  <w:pPr>
                    <w:framePr w:hSpace="180" w:wrap="around" w:vAnchor="text" w:hAnchor="margin" w:xAlign="center" w:y="59"/>
                    <w:rPr>
                      <w:smallCaps/>
                      <w:sz w:val="32"/>
                      <w:szCs w:val="32"/>
                    </w:rPr>
                  </w:pPr>
                  <w:r w:rsidRPr="001E3585">
                    <w:rPr>
                      <w:smallCaps/>
                      <w:sz w:val="32"/>
                      <w:szCs w:val="32"/>
                    </w:rPr>
                    <w:t>Use Office of Global Learning Resources</w:t>
                  </w:r>
                </w:p>
              </w:tc>
            </w:tr>
            <w:tr w:rsidR="00132A51" w14:paraId="431FD84E" w14:textId="77777777" w:rsidTr="00447A3E">
              <w:trPr>
                <w:trHeight w:val="346"/>
              </w:trPr>
              <w:tc>
                <w:tcPr>
                  <w:tcW w:w="10264" w:type="dxa"/>
                </w:tcPr>
                <w:p w14:paraId="05CC4C96" w14:textId="7DA7CF0B" w:rsidR="00132A51" w:rsidRPr="00132A51" w:rsidRDefault="00132A51" w:rsidP="00973691">
                  <w:pPr>
                    <w:pStyle w:val="ListParagraph"/>
                    <w:framePr w:hSpace="180" w:wrap="around" w:vAnchor="text" w:hAnchor="margin" w:xAlign="center" w:y="59"/>
                    <w:numPr>
                      <w:ilvl w:val="0"/>
                      <w:numId w:val="5"/>
                    </w:numPr>
                    <w:rPr>
                      <w:rStyle w:val="Hyperlink"/>
                      <w:color w:val="auto"/>
                      <w:u w:val="none"/>
                    </w:rPr>
                  </w:pPr>
                  <w:r w:rsidRPr="00904BB6">
                    <w:t xml:space="preserve">Compare Programs using </w:t>
                  </w:r>
                  <w:hyperlink r:id="rId9" w:history="1">
                    <w:r w:rsidR="00870445" w:rsidRPr="00870445">
                      <w:rPr>
                        <w:rStyle w:val="Hyperlink"/>
                      </w:rPr>
                      <w:t>experience.cornell.edu</w:t>
                    </w:r>
                  </w:hyperlink>
                </w:p>
                <w:p w14:paraId="03ABACE3" w14:textId="31214EF1" w:rsidR="00132A51" w:rsidRPr="00B119E7" w:rsidRDefault="00132A51" w:rsidP="00973691">
                  <w:pPr>
                    <w:pStyle w:val="ListParagraph"/>
                    <w:framePr w:hSpace="180" w:wrap="around" w:vAnchor="text" w:hAnchor="margin" w:xAlign="center" w:y="59"/>
                    <w:numPr>
                      <w:ilvl w:val="0"/>
                      <w:numId w:val="3"/>
                    </w:numPr>
                    <w:rPr>
                      <w:rStyle w:val="Hyperlink"/>
                      <w:color w:val="auto"/>
                      <w:u w:val="none"/>
                    </w:rPr>
                  </w:pPr>
                  <w:hyperlink r:id="rId10" w:history="1">
                    <w:proofErr w:type="gramStart"/>
                    <w:r w:rsidRPr="00132A51">
                      <w:rPr>
                        <w:rStyle w:val="Hyperlink"/>
                      </w:rPr>
                      <w:t>Meet</w:t>
                    </w:r>
                    <w:proofErr w:type="gramEnd"/>
                    <w:r w:rsidRPr="00132A51">
                      <w:rPr>
                        <w:rStyle w:val="Hyperlink"/>
                      </w:rPr>
                      <w:t xml:space="preserve"> with an Education Abroad Advisor</w:t>
                    </w:r>
                  </w:hyperlink>
                </w:p>
                <w:p w14:paraId="09A2BC56" w14:textId="152BDB3A" w:rsidR="00132A51" w:rsidRPr="00904BB6" w:rsidRDefault="00132A51" w:rsidP="00973691">
                  <w:pPr>
                    <w:pStyle w:val="ListParagraph"/>
                    <w:framePr w:hSpace="180" w:wrap="around" w:vAnchor="text" w:hAnchor="margin" w:xAlign="center" w:y="59"/>
                    <w:numPr>
                      <w:ilvl w:val="0"/>
                      <w:numId w:val="3"/>
                    </w:numPr>
                  </w:pPr>
                  <w:hyperlink r:id="rId11" w:history="1">
                    <w:r w:rsidRPr="00B119E7">
                      <w:rPr>
                        <w:rStyle w:val="Hyperlink"/>
                      </w:rPr>
                      <w:t>Contact a Past Participant</w:t>
                    </w:r>
                  </w:hyperlink>
                  <w:r>
                    <w:rPr>
                      <w:rStyle w:val="Hyperlink"/>
                    </w:rPr>
                    <w:t xml:space="preserve"> </w:t>
                  </w:r>
                  <w:r w:rsidRPr="00BD03AD">
                    <w:rPr>
                      <w:rStyle w:val="Hyperlink"/>
                      <w:color w:val="auto"/>
                      <w:u w:val="none"/>
                    </w:rPr>
                    <w:t xml:space="preserve">to learn about the student experience at </w:t>
                  </w:r>
                  <w:r w:rsidR="00870445" w:rsidRPr="00BD03AD">
                    <w:rPr>
                      <w:rStyle w:val="Hyperlink"/>
                      <w:color w:val="auto"/>
                      <w:u w:val="none"/>
                    </w:rPr>
                    <w:t xml:space="preserve">your programs of interest </w:t>
                  </w:r>
                  <w:r w:rsidRPr="00BD03AD">
                    <w:rPr>
                      <w:rStyle w:val="Hyperlink"/>
                      <w:color w:val="auto"/>
                      <w:u w:val="none"/>
                    </w:rPr>
                    <w:t xml:space="preserve"> </w:t>
                  </w:r>
                </w:p>
              </w:tc>
            </w:tr>
          </w:tbl>
          <w:p w14:paraId="37B9F07E" w14:textId="77777777" w:rsidR="00132A51" w:rsidRPr="00D70C3D" w:rsidRDefault="00132A51" w:rsidP="00132A51">
            <w:pPr>
              <w:rPr>
                <w:smallCaps/>
              </w:rPr>
            </w:pPr>
          </w:p>
        </w:tc>
      </w:tr>
    </w:tbl>
    <w:p w14:paraId="2A2AE054" w14:textId="77777777" w:rsidR="00B05C33" w:rsidRDefault="00B05C33" w:rsidP="00904BB6">
      <w:pPr>
        <w:spacing w:line="48" w:lineRule="auto"/>
      </w:pPr>
    </w:p>
    <w:tbl>
      <w:tblPr>
        <w:tblStyle w:val="TableGrid"/>
        <w:tblW w:w="104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805664" w14:paraId="222CDB9C" w14:textId="77777777" w:rsidTr="00132A51">
        <w:trPr>
          <w:jc w:val="center"/>
        </w:trPr>
        <w:tc>
          <w:tcPr>
            <w:tcW w:w="10440" w:type="dxa"/>
            <w:tcBorders>
              <w:bottom w:val="single" w:sz="4" w:space="0" w:color="auto"/>
            </w:tcBorders>
          </w:tcPr>
          <w:p w14:paraId="49ECC0EB" w14:textId="77777777" w:rsidR="00805664" w:rsidRPr="00FA579D" w:rsidRDefault="00805664" w:rsidP="00904BB6">
            <w:pPr>
              <w:rPr>
                <w:b/>
                <w:caps/>
                <w:sz w:val="36"/>
                <w:szCs w:val="36"/>
              </w:rPr>
            </w:pPr>
            <w:r w:rsidRPr="00FA579D">
              <w:rPr>
                <w:b/>
                <w:caps/>
                <w:sz w:val="36"/>
                <w:szCs w:val="36"/>
              </w:rPr>
              <w:t>STEP 4: APPLY!</w:t>
            </w:r>
          </w:p>
          <w:p w14:paraId="1AB1DF60" w14:textId="77777777" w:rsidR="00805664" w:rsidRPr="00FA579D" w:rsidRDefault="00805664" w:rsidP="00904BB6">
            <w:pPr>
              <w:spacing w:line="48" w:lineRule="auto"/>
              <w:rPr>
                <w:smallCaps/>
              </w:rPr>
            </w:pPr>
          </w:p>
          <w:p w14:paraId="34D31DD9" w14:textId="77777777" w:rsidR="00805664" w:rsidRPr="00FA579D" w:rsidRDefault="00805664" w:rsidP="00904BB6">
            <w:pPr>
              <w:rPr>
                <w:smallCaps/>
                <w:sz w:val="32"/>
                <w:szCs w:val="32"/>
              </w:rPr>
            </w:pPr>
            <w:r w:rsidRPr="00FA579D">
              <w:rPr>
                <w:smallCaps/>
                <w:sz w:val="32"/>
                <w:szCs w:val="32"/>
              </w:rPr>
              <w:t>Two Step Process</w:t>
            </w:r>
          </w:p>
        </w:tc>
      </w:tr>
      <w:tr w:rsidR="00805664" w14:paraId="2D2BD687" w14:textId="77777777" w:rsidTr="00132A51">
        <w:trPr>
          <w:jc w:val="center"/>
        </w:trPr>
        <w:tc>
          <w:tcPr>
            <w:tcW w:w="10440" w:type="dxa"/>
            <w:tcBorders>
              <w:top w:val="single" w:sz="4" w:space="0" w:color="auto"/>
            </w:tcBorders>
          </w:tcPr>
          <w:p w14:paraId="2DF1B7FB" w14:textId="059A9F7D" w:rsidR="00805664" w:rsidRPr="00904BB6" w:rsidRDefault="00805664" w:rsidP="00904BB6">
            <w:pPr>
              <w:pStyle w:val="ListParagraph"/>
              <w:numPr>
                <w:ilvl w:val="0"/>
                <w:numId w:val="4"/>
              </w:numPr>
            </w:pPr>
            <w:r w:rsidRPr="00904BB6">
              <w:t>Apply for Cornell Approval</w:t>
            </w:r>
          </w:p>
        </w:tc>
      </w:tr>
      <w:tr w:rsidR="00805664" w14:paraId="15A8AB4E" w14:textId="77777777" w:rsidTr="00132A51">
        <w:trPr>
          <w:jc w:val="center"/>
        </w:trPr>
        <w:tc>
          <w:tcPr>
            <w:tcW w:w="10440" w:type="dxa"/>
          </w:tcPr>
          <w:p w14:paraId="05D1B151" w14:textId="43616AB3" w:rsidR="00FA579D" w:rsidRPr="00904BB6" w:rsidRDefault="00FA579D" w:rsidP="00904BB6">
            <w:pPr>
              <w:pStyle w:val="ListParagraph"/>
              <w:numPr>
                <w:ilvl w:val="0"/>
                <w:numId w:val="4"/>
              </w:numPr>
            </w:pPr>
            <w:r w:rsidRPr="00904BB6">
              <w:t>Program Admission – external application</w:t>
            </w:r>
            <w:r w:rsidR="00870445">
              <w:t>. Refer to the program’s overview page for more details.</w:t>
            </w:r>
          </w:p>
          <w:p w14:paraId="588C33B6" w14:textId="77777777" w:rsidR="00904BB6" w:rsidRPr="00904BB6" w:rsidRDefault="00904BB6" w:rsidP="00904BB6">
            <w:pPr>
              <w:pStyle w:val="ListParagraph"/>
              <w:spacing w:line="96" w:lineRule="auto"/>
            </w:pPr>
          </w:p>
        </w:tc>
      </w:tr>
      <w:tr w:rsidR="00805664" w14:paraId="304181E6" w14:textId="77777777" w:rsidTr="00132A51">
        <w:trPr>
          <w:jc w:val="center"/>
        </w:trPr>
        <w:tc>
          <w:tcPr>
            <w:tcW w:w="10440" w:type="dxa"/>
          </w:tcPr>
          <w:p w14:paraId="02C08F2E" w14:textId="5CD4B993" w:rsidR="00805664" w:rsidRPr="00904BB6" w:rsidRDefault="00805664" w:rsidP="007C6E0F"/>
        </w:tc>
      </w:tr>
    </w:tbl>
    <w:p w14:paraId="5C211226" w14:textId="77777777" w:rsidR="00B05C33" w:rsidRPr="000316BC" w:rsidRDefault="00B05C33" w:rsidP="000316BC"/>
    <w:sectPr w:rsidR="00B05C33" w:rsidRPr="000316BC" w:rsidSect="00973691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6013C"/>
    <w:multiLevelType w:val="hybridMultilevel"/>
    <w:tmpl w:val="8892C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AC1"/>
    <w:multiLevelType w:val="hybridMultilevel"/>
    <w:tmpl w:val="6088DD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9B279E"/>
    <w:multiLevelType w:val="hybridMultilevel"/>
    <w:tmpl w:val="1D20A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953E9"/>
    <w:multiLevelType w:val="hybridMultilevel"/>
    <w:tmpl w:val="BA5E2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C0E99"/>
    <w:multiLevelType w:val="hybridMultilevel"/>
    <w:tmpl w:val="60146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2250E"/>
    <w:multiLevelType w:val="hybridMultilevel"/>
    <w:tmpl w:val="800A7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27F3C"/>
    <w:multiLevelType w:val="hybridMultilevel"/>
    <w:tmpl w:val="C9D458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1B4F88"/>
    <w:multiLevelType w:val="hybridMultilevel"/>
    <w:tmpl w:val="C8029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21522">
    <w:abstractNumId w:val="5"/>
  </w:num>
  <w:num w:numId="2" w16cid:durableId="913777292">
    <w:abstractNumId w:val="0"/>
  </w:num>
  <w:num w:numId="3" w16cid:durableId="185414099">
    <w:abstractNumId w:val="3"/>
  </w:num>
  <w:num w:numId="4" w16cid:durableId="79185089">
    <w:abstractNumId w:val="7"/>
  </w:num>
  <w:num w:numId="5" w16cid:durableId="615066336">
    <w:abstractNumId w:val="2"/>
  </w:num>
  <w:num w:numId="6" w16cid:durableId="1359817540">
    <w:abstractNumId w:val="4"/>
  </w:num>
  <w:num w:numId="7" w16cid:durableId="1517111548">
    <w:abstractNumId w:val="6"/>
  </w:num>
  <w:num w:numId="8" w16cid:durableId="1165587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6BC"/>
    <w:rsid w:val="000145F6"/>
    <w:rsid w:val="000316BC"/>
    <w:rsid w:val="00041775"/>
    <w:rsid w:val="00132A51"/>
    <w:rsid w:val="00140DF4"/>
    <w:rsid w:val="001E3585"/>
    <w:rsid w:val="0047761F"/>
    <w:rsid w:val="00516A4E"/>
    <w:rsid w:val="006F20AC"/>
    <w:rsid w:val="007C6E0F"/>
    <w:rsid w:val="007D3ADA"/>
    <w:rsid w:val="00805664"/>
    <w:rsid w:val="008206A8"/>
    <w:rsid w:val="00870445"/>
    <w:rsid w:val="00904BB6"/>
    <w:rsid w:val="00973691"/>
    <w:rsid w:val="00997030"/>
    <w:rsid w:val="00A0329D"/>
    <w:rsid w:val="00B05C33"/>
    <w:rsid w:val="00B119E7"/>
    <w:rsid w:val="00BD03AD"/>
    <w:rsid w:val="00BD4D4D"/>
    <w:rsid w:val="00BE6C71"/>
    <w:rsid w:val="00C628AF"/>
    <w:rsid w:val="00D05E4F"/>
    <w:rsid w:val="00D70C3D"/>
    <w:rsid w:val="00DB617E"/>
    <w:rsid w:val="00E5570E"/>
    <w:rsid w:val="00F81386"/>
    <w:rsid w:val="00FA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C3D19"/>
  <w15:chartTrackingRefBased/>
  <w15:docId w15:val="{62393D0A-6468-462D-ADCE-A25CF8D3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5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2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B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4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road.globallearning.cornell.edu/get-started/academics/polici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ha.cornell.edu/current-students/career-management/undergraduate/practice-credit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abroad.globallearning.cornell.edu/get-started/plan-your-path/contact-past-participan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broad.globallearning.cornell.edu/get-advi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xperience.cornell.edu/opportuni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AA8D0-3CD7-4E1B-A1C7-FD8C9B901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Rae Sweazey</dc:creator>
  <cp:keywords/>
  <dc:description/>
  <cp:lastModifiedBy>Taylor Rae Sweazey</cp:lastModifiedBy>
  <cp:revision>6</cp:revision>
  <dcterms:created xsi:type="dcterms:W3CDTF">2025-10-31T17:45:00Z</dcterms:created>
  <dcterms:modified xsi:type="dcterms:W3CDTF">2026-04-15T16:41:00Z</dcterms:modified>
</cp:coreProperties>
</file>